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235" w:rsidRPr="00804235" w:rsidRDefault="00804235" w:rsidP="00804235">
      <w:pPr>
        <w:jc w:val="center"/>
        <w:rPr>
          <w:rFonts w:asciiTheme="minorEastAsia" w:hAnsiTheme="minorEastAsia"/>
          <w:b/>
          <w:sz w:val="36"/>
          <w:szCs w:val="36"/>
        </w:rPr>
      </w:pPr>
      <w:r w:rsidRPr="00804235">
        <w:rPr>
          <w:rFonts w:asciiTheme="minorEastAsia" w:hAnsiTheme="minorEastAsia" w:hint="eastAsia"/>
          <w:b/>
          <w:sz w:val="36"/>
          <w:szCs w:val="36"/>
        </w:rPr>
        <w:t>【3·15关注】向未成年人售酒致其中毒！商家赔偿760元并被立案调查</w:t>
      </w:r>
    </w:p>
    <w:p w:rsidR="00804235" w:rsidRPr="00804235" w:rsidRDefault="00804235" w:rsidP="00804235">
      <w:pPr>
        <w:ind w:firstLineChars="200" w:firstLine="560"/>
        <w:rPr>
          <w:rFonts w:asciiTheme="minorEastAsia" w:hAnsiTheme="minorEastAsia"/>
          <w:sz w:val="28"/>
          <w:szCs w:val="28"/>
        </w:rPr>
      </w:pPr>
      <w:proofErr w:type="gramStart"/>
      <w:r w:rsidRPr="00804235">
        <w:rPr>
          <w:rFonts w:asciiTheme="minorEastAsia" w:hAnsiTheme="minorEastAsia" w:hint="eastAsia"/>
          <w:sz w:val="28"/>
          <w:szCs w:val="28"/>
        </w:rPr>
        <w:t>本网讯</w:t>
      </w:r>
      <w:proofErr w:type="gramEnd"/>
      <w:r w:rsidRPr="00804235">
        <w:rPr>
          <w:rFonts w:asciiTheme="minorEastAsia" w:hAnsiTheme="minorEastAsia" w:hint="eastAsia"/>
          <w:sz w:val="28"/>
          <w:szCs w:val="28"/>
        </w:rPr>
        <w:t>（张东）成都市简阳市保护消费者权益委员会（以下简称“简阳市消委会”）于2025年4月22日收到邓女士对某便利店的投诉。投诉称，邓女士的未成年女儿与同学当日在该店购买并饮用了某款预调鸡尾酒（酒精度8°），随后其女儿因急性酒精中毒晕倒街头，被送医救治，产生医疗费用665元。邓女士认为，该店虽设有“禁止向未成年人售酒”标识，但商家违规向未成年人售酒，存在明显过错，要求商家承担全部责任并赔偿医疗费、交通营养费、精神损失费等共计1000元。该店店长</w:t>
      </w:r>
      <w:r w:rsidR="00D918E4">
        <w:rPr>
          <w:rFonts w:asciiTheme="minorEastAsia" w:hAnsiTheme="minorEastAsia" w:hint="eastAsia"/>
          <w:sz w:val="28"/>
          <w:szCs w:val="28"/>
        </w:rPr>
        <w:t>只愿意道歉和少量赔偿。双方协商未果，邓女士遂向简阳市消委会投诉。</w:t>
      </w:r>
      <w:bookmarkStart w:id="0" w:name="_GoBack"/>
      <w:bookmarkEnd w:id="0"/>
    </w:p>
    <w:p w:rsidR="00804235" w:rsidRPr="00804235" w:rsidRDefault="00804235" w:rsidP="00804235">
      <w:pPr>
        <w:ind w:firstLineChars="200" w:firstLine="560"/>
        <w:rPr>
          <w:rFonts w:asciiTheme="minorEastAsia" w:hAnsiTheme="minorEastAsia"/>
          <w:sz w:val="28"/>
          <w:szCs w:val="28"/>
        </w:rPr>
      </w:pPr>
      <w:r w:rsidRPr="00804235">
        <w:rPr>
          <w:rFonts w:asciiTheme="minorEastAsia" w:hAnsiTheme="minorEastAsia" w:hint="eastAsia"/>
          <w:sz w:val="28"/>
          <w:szCs w:val="28"/>
        </w:rPr>
        <w:t>简阳市消委会接到投诉后迅速启动调查，并联合市场监管部门进行现场核查。调查确认该店虽设有“禁止向未成年人售酒”标识，但店员在销售时未能辨认出消费者未成年。调解初期，</w:t>
      </w:r>
      <w:proofErr w:type="gramStart"/>
      <w:r w:rsidRPr="00804235">
        <w:rPr>
          <w:rFonts w:asciiTheme="minorEastAsia" w:hAnsiTheme="minorEastAsia" w:hint="eastAsia"/>
          <w:sz w:val="28"/>
          <w:szCs w:val="28"/>
        </w:rPr>
        <w:t>商家仅</w:t>
      </w:r>
      <w:proofErr w:type="gramEnd"/>
      <w:r w:rsidRPr="00804235">
        <w:rPr>
          <w:rFonts w:asciiTheme="minorEastAsia" w:hAnsiTheme="minorEastAsia" w:hint="eastAsia"/>
          <w:sz w:val="28"/>
          <w:szCs w:val="28"/>
        </w:rPr>
        <w:t>愿道歉并补偿300元，与消费者诉求差距较大。简阳市消委会采取“背对背”沟通方式，一方面指导消费者完善证据，另一方面向商家明确指出，仅设置标识不等于完全履行法定义务。随后组织“面对面”调解，重点阐释《中华人民共和国未成年人保护法》第五十九条规定的经营者主动查验年龄的义务。经法、理、</w:t>
      </w:r>
      <w:proofErr w:type="gramStart"/>
      <w:r w:rsidRPr="00804235">
        <w:rPr>
          <w:rFonts w:asciiTheme="minorEastAsia" w:hAnsiTheme="minorEastAsia" w:hint="eastAsia"/>
          <w:sz w:val="28"/>
          <w:szCs w:val="28"/>
        </w:rPr>
        <w:t>情相结合</w:t>
      </w:r>
      <w:proofErr w:type="gramEnd"/>
      <w:r w:rsidRPr="00804235">
        <w:rPr>
          <w:rFonts w:asciiTheme="minorEastAsia" w:hAnsiTheme="minorEastAsia" w:hint="eastAsia"/>
          <w:sz w:val="28"/>
          <w:szCs w:val="28"/>
        </w:rPr>
        <w:t>的多轮疏导，双方达成一致：由商家一次性赔偿邓女士760元，并当场履行完毕。针对商家向未成年人售酒的违法行为，市场监管部门已另行立案处理。</w:t>
      </w:r>
    </w:p>
    <w:p w:rsidR="00804235" w:rsidRPr="00804235" w:rsidRDefault="00804235" w:rsidP="00804235">
      <w:pPr>
        <w:ind w:firstLineChars="200" w:firstLine="560"/>
        <w:rPr>
          <w:rFonts w:asciiTheme="minorEastAsia" w:hAnsiTheme="minorEastAsia"/>
          <w:sz w:val="28"/>
          <w:szCs w:val="28"/>
        </w:rPr>
      </w:pPr>
      <w:r>
        <w:rPr>
          <w:rFonts w:asciiTheme="minorEastAsia" w:hAnsiTheme="minorEastAsia" w:hint="eastAsia"/>
          <w:sz w:val="28"/>
          <w:szCs w:val="28"/>
        </w:rPr>
        <w:t>据</w:t>
      </w:r>
      <w:r w:rsidRPr="00804235">
        <w:rPr>
          <w:rFonts w:asciiTheme="minorEastAsia" w:hAnsiTheme="minorEastAsia" w:hint="eastAsia"/>
          <w:sz w:val="28"/>
          <w:szCs w:val="28"/>
        </w:rPr>
        <w:t>简阳市消委会</w:t>
      </w:r>
      <w:r>
        <w:rPr>
          <w:rFonts w:asciiTheme="minorEastAsia" w:hAnsiTheme="minorEastAsia" w:hint="eastAsia"/>
          <w:sz w:val="28"/>
          <w:szCs w:val="28"/>
        </w:rPr>
        <w:t>相关负责人介绍，</w:t>
      </w:r>
      <w:r w:rsidRPr="00804235">
        <w:rPr>
          <w:rFonts w:asciiTheme="minorEastAsia" w:hAnsiTheme="minorEastAsia" w:hint="eastAsia"/>
          <w:sz w:val="28"/>
          <w:szCs w:val="28"/>
        </w:rPr>
        <w:t>《中华人民共和国未成年人保</w:t>
      </w:r>
      <w:r w:rsidRPr="00804235">
        <w:rPr>
          <w:rFonts w:asciiTheme="minorEastAsia" w:hAnsiTheme="minorEastAsia" w:hint="eastAsia"/>
          <w:sz w:val="28"/>
          <w:szCs w:val="28"/>
        </w:rPr>
        <w:lastRenderedPageBreak/>
        <w:t>护法》第五十九条明确规定：“禁止向未成年人销售烟、酒……；对难以判明是否是未成年人的，应当要求其出示身份证件。”本案中，经营者虽设置了标识，但店员未要求可能为未成年人的消费者出示身份证件，其“形式合规”不能替代“实质履行”，故其销售行为已构成违法，应对由此直接导致的人身损害承担主要赔偿责任。</w:t>
      </w:r>
    </w:p>
    <w:p w:rsidR="00804235" w:rsidRPr="00804235" w:rsidRDefault="00804235" w:rsidP="00804235">
      <w:pPr>
        <w:ind w:firstLineChars="200" w:firstLine="560"/>
        <w:rPr>
          <w:rFonts w:asciiTheme="minorEastAsia" w:hAnsiTheme="minorEastAsia"/>
          <w:sz w:val="28"/>
          <w:szCs w:val="28"/>
        </w:rPr>
      </w:pPr>
      <w:r w:rsidRPr="00804235">
        <w:rPr>
          <w:rFonts w:asciiTheme="minorEastAsia" w:hAnsiTheme="minorEastAsia" w:hint="eastAsia"/>
          <w:sz w:val="28"/>
          <w:szCs w:val="28"/>
        </w:rPr>
        <w:t>同时，《中华人民共和国未成年人保护法》及《中华人民共和国民法典》明确了监护人的职责。未成年消费者的监护人，应依法履行教育、引导义务，增强未成年人的自我保护意识和法律认知。因此，在责任划分上，消费者一方亦应自省并加强家庭监护。</w:t>
      </w:r>
    </w:p>
    <w:p w:rsidR="007D0A08" w:rsidRPr="00804235" w:rsidRDefault="00804235" w:rsidP="00804235">
      <w:pPr>
        <w:ind w:firstLineChars="200" w:firstLine="560"/>
        <w:rPr>
          <w:rFonts w:asciiTheme="minorEastAsia" w:hAnsiTheme="minorEastAsia"/>
          <w:sz w:val="28"/>
          <w:szCs w:val="28"/>
        </w:rPr>
      </w:pPr>
      <w:r w:rsidRPr="00804235">
        <w:rPr>
          <w:rFonts w:asciiTheme="minorEastAsia" w:hAnsiTheme="minorEastAsia" w:hint="eastAsia"/>
          <w:sz w:val="28"/>
          <w:szCs w:val="28"/>
        </w:rPr>
        <w:t>简阳市消委会相关负责人</w:t>
      </w:r>
      <w:r>
        <w:rPr>
          <w:rFonts w:asciiTheme="minorEastAsia" w:hAnsiTheme="minorEastAsia" w:hint="eastAsia"/>
          <w:sz w:val="28"/>
          <w:szCs w:val="28"/>
        </w:rPr>
        <w:t>表示，</w:t>
      </w:r>
      <w:r w:rsidRPr="00804235">
        <w:rPr>
          <w:rFonts w:asciiTheme="minorEastAsia" w:hAnsiTheme="minorEastAsia" w:hint="eastAsia"/>
          <w:sz w:val="28"/>
          <w:szCs w:val="28"/>
        </w:rPr>
        <w:t>本案警示广大经营者，法定义务的履行重在实质行为，不能以“已设标识”为由免除主动查验的责任；也提醒广大家长，法律保护与家庭监护必须双管齐下，共同筑牢未成年人健康成长的安全防线。</w:t>
      </w:r>
    </w:p>
    <w:p w:rsidR="00804235" w:rsidRDefault="00804235" w:rsidP="00804235">
      <w:pPr>
        <w:rPr>
          <w:rFonts w:asciiTheme="minorEastAsia" w:hAnsiTheme="minorEastAsia"/>
          <w:sz w:val="28"/>
          <w:szCs w:val="28"/>
        </w:rPr>
      </w:pPr>
    </w:p>
    <w:p w:rsidR="00804235" w:rsidRPr="00804235" w:rsidRDefault="00804235" w:rsidP="00804235">
      <w:pPr>
        <w:ind w:firstLineChars="2000" w:firstLine="5622"/>
        <w:rPr>
          <w:rFonts w:asciiTheme="minorEastAsia" w:hAnsiTheme="minorEastAsia"/>
          <w:b/>
          <w:sz w:val="28"/>
          <w:szCs w:val="28"/>
        </w:rPr>
      </w:pPr>
      <w:r w:rsidRPr="00804235">
        <w:rPr>
          <w:rFonts w:asciiTheme="minorEastAsia" w:hAnsiTheme="minorEastAsia" w:hint="eastAsia"/>
          <w:b/>
          <w:sz w:val="28"/>
          <w:szCs w:val="28"/>
        </w:rPr>
        <w:t>中国质量万里行网</w:t>
      </w:r>
    </w:p>
    <w:p w:rsidR="00804235" w:rsidRPr="00804235" w:rsidRDefault="00804235" w:rsidP="00804235">
      <w:pPr>
        <w:ind w:firstLineChars="2000" w:firstLine="5622"/>
        <w:rPr>
          <w:rFonts w:asciiTheme="minorEastAsia" w:hAnsiTheme="minorEastAsia"/>
          <w:b/>
          <w:sz w:val="28"/>
          <w:szCs w:val="28"/>
        </w:rPr>
      </w:pPr>
      <w:r w:rsidRPr="00804235">
        <w:rPr>
          <w:rFonts w:asciiTheme="minorEastAsia" w:hAnsiTheme="minorEastAsia" w:hint="eastAsia"/>
          <w:b/>
          <w:sz w:val="28"/>
          <w:szCs w:val="28"/>
        </w:rPr>
        <w:t>2026年3月11日</w:t>
      </w:r>
    </w:p>
    <w:sectPr w:rsidR="00804235" w:rsidRPr="008042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E74" w:rsidRDefault="00CB7E74" w:rsidP="00D918E4">
      <w:r>
        <w:separator/>
      </w:r>
    </w:p>
  </w:endnote>
  <w:endnote w:type="continuationSeparator" w:id="0">
    <w:p w:rsidR="00CB7E74" w:rsidRDefault="00CB7E74" w:rsidP="00D9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E74" w:rsidRDefault="00CB7E74" w:rsidP="00D918E4">
      <w:r>
        <w:separator/>
      </w:r>
    </w:p>
  </w:footnote>
  <w:footnote w:type="continuationSeparator" w:id="0">
    <w:p w:rsidR="00CB7E74" w:rsidRDefault="00CB7E74" w:rsidP="00D91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235"/>
    <w:rsid w:val="007D0A08"/>
    <w:rsid w:val="00804235"/>
    <w:rsid w:val="00CB7E74"/>
    <w:rsid w:val="00D91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18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18E4"/>
    <w:rPr>
      <w:sz w:val="18"/>
      <w:szCs w:val="18"/>
    </w:rPr>
  </w:style>
  <w:style w:type="paragraph" w:styleId="a4">
    <w:name w:val="footer"/>
    <w:basedOn w:val="a"/>
    <w:link w:val="Char0"/>
    <w:uiPriority w:val="99"/>
    <w:unhideWhenUsed/>
    <w:rsid w:val="00D918E4"/>
    <w:pPr>
      <w:tabs>
        <w:tab w:val="center" w:pos="4153"/>
        <w:tab w:val="right" w:pos="8306"/>
      </w:tabs>
      <w:snapToGrid w:val="0"/>
      <w:jc w:val="left"/>
    </w:pPr>
    <w:rPr>
      <w:sz w:val="18"/>
      <w:szCs w:val="18"/>
    </w:rPr>
  </w:style>
  <w:style w:type="character" w:customStyle="1" w:styleId="Char0">
    <w:name w:val="页脚 Char"/>
    <w:basedOn w:val="a0"/>
    <w:link w:val="a4"/>
    <w:uiPriority w:val="99"/>
    <w:rsid w:val="00D918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18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18E4"/>
    <w:rPr>
      <w:sz w:val="18"/>
      <w:szCs w:val="18"/>
    </w:rPr>
  </w:style>
  <w:style w:type="paragraph" w:styleId="a4">
    <w:name w:val="footer"/>
    <w:basedOn w:val="a"/>
    <w:link w:val="Char0"/>
    <w:uiPriority w:val="99"/>
    <w:unhideWhenUsed/>
    <w:rsid w:val="00D918E4"/>
    <w:pPr>
      <w:tabs>
        <w:tab w:val="center" w:pos="4153"/>
        <w:tab w:val="right" w:pos="8306"/>
      </w:tabs>
      <w:snapToGrid w:val="0"/>
      <w:jc w:val="left"/>
    </w:pPr>
    <w:rPr>
      <w:sz w:val="18"/>
      <w:szCs w:val="18"/>
    </w:rPr>
  </w:style>
  <w:style w:type="character" w:customStyle="1" w:styleId="Char0">
    <w:name w:val="页脚 Char"/>
    <w:basedOn w:val="a0"/>
    <w:link w:val="a4"/>
    <w:uiPriority w:val="99"/>
    <w:rsid w:val="00D918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huang</cp:lastModifiedBy>
  <cp:revision>2</cp:revision>
  <dcterms:created xsi:type="dcterms:W3CDTF">2026-03-11T09:30:00Z</dcterms:created>
  <dcterms:modified xsi:type="dcterms:W3CDTF">2026-03-11T10:00:00Z</dcterms:modified>
</cp:coreProperties>
</file>